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055" w:rsidRDefault="00272622" w:rsidP="00272622">
      <w:pPr>
        <w:ind w:left="3544" w:right="-1135"/>
        <w:rPr>
          <w:rFonts w:ascii="Arial" w:hAnsi="Arial" w:cs="Arial"/>
        </w:rPr>
      </w:pP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DBC966" wp14:editId="30CA3648">
                <wp:simplePos x="0" y="0"/>
                <wp:positionH relativeFrom="column">
                  <wp:posOffset>147320</wp:posOffset>
                </wp:positionH>
                <wp:positionV relativeFrom="paragraph">
                  <wp:posOffset>124460</wp:posOffset>
                </wp:positionV>
                <wp:extent cx="7216140" cy="609600"/>
                <wp:effectExtent l="0" t="0" r="22860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6140" cy="609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622" w:rsidRPr="00272622" w:rsidRDefault="003E21C2" w:rsidP="0027262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E21C2">
                              <w:rPr>
                                <w:rFonts w:ascii="Arial" w:hAnsi="Arial" w:cs="Arial"/>
                                <w:noProof/>
                                <w:lang w:val="es-ES_tradnl" w:eastAsia="es-ES_tradnl"/>
                              </w:rPr>
                              <w:drawing>
                                <wp:inline distT="0" distB="0" distL="0" distR="0" wp14:anchorId="4E648E5D" wp14:editId="02B66BC2">
                                  <wp:extent cx="581660" cy="423230"/>
                                  <wp:effectExtent l="0" t="0" r="8890" b="0"/>
                                  <wp:docPr id="4" name="Imagen 4" descr="D:\3.- OPCA_act.9.7.22\3. Logotipo y membretado\JPG Logotipo\Logo variaciones-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3.- OPCA_act.9.7.22\3. Logotipo y membretado\JPG Logotipo\Logo variaciones-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7335" cy="434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276C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PATRIMONIO Y ARQUEOLOGIA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lang w:eastAsia="es-ES"/>
                              </w:rPr>
                              <w:t xml:space="preserve">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DBC966" id="Rectángulo 2" o:spid="_x0000_s1026" style="position:absolute;left:0;text-align:left;margin-left:11.6pt;margin-top:9.8pt;width:568.2pt;height:4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" fillcolor="#1f4d78 [1604]" strokecolor="#1f4d78 [1604]" strokeweight="1pt">
                <v:textbox>
                  <w:txbxContent>
                    <w:p w:rsidR="00272622" w:rsidRPr="00272622" w:rsidRDefault="003E21C2" w:rsidP="0027262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E21C2">
                        <w:rPr>
                          <w:rFonts w:ascii="Arial" w:hAnsi="Arial" w:cs="Arial"/>
                          <w:noProof/>
                          <w:lang w:val="es-ES_tradnl" w:eastAsia="es-ES_tradnl"/>
                        </w:rPr>
                        <w:drawing>
                          <wp:inline distT="0" distB="0" distL="0" distR="0" wp14:anchorId="4E648E5D" wp14:editId="02B66BC2">
                            <wp:extent cx="581660" cy="423230"/>
                            <wp:effectExtent l="0" t="0" r="8890" b="0"/>
                            <wp:docPr id="4" name="Imagen 4" descr="D:\3.- OPCA_act.9.7.22\3. Logotipo y membretado\JPG Logotipo\Logo variaciones-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3.- OPCA_act.9.7.22\3. Logotipo y membretado\JPG Logotipo\Logo variaciones-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7335" cy="434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="000276C1">
                        <w:rPr>
                          <w:rFonts w:ascii="Arial" w:hAnsi="Arial" w:cs="Arial"/>
                          <w:sz w:val="24"/>
                          <w:szCs w:val="24"/>
                        </w:rPr>
                        <w:t>PATRIMONIO Y ARQUEOLOGIA</w:t>
                      </w:r>
                      <w:r>
                        <w:rPr>
                          <w:rFonts w:ascii="Arial" w:hAnsi="Arial" w:cs="Arial"/>
                          <w:noProof/>
                          <w:lang w:eastAsia="es-ES"/>
                        </w:rPr>
                        <w:t xml:space="preserve">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</w:rPr>
        <w:t xml:space="preserve"> </w:t>
      </w:r>
    </w:p>
    <w:p w:rsidR="00272622" w:rsidRDefault="00272622" w:rsidP="00272622">
      <w:pPr>
        <w:ind w:left="3544" w:right="-1135"/>
        <w:rPr>
          <w:rFonts w:ascii="Arial" w:hAnsi="Arial" w:cs="Arial"/>
        </w:rPr>
      </w:pPr>
    </w:p>
    <w:p w:rsidR="00272622" w:rsidRDefault="00272622" w:rsidP="00272622">
      <w:pPr>
        <w:ind w:left="3544" w:right="-1135"/>
        <w:rPr>
          <w:rFonts w:ascii="Arial" w:hAnsi="Arial" w:cs="Arial"/>
        </w:rPr>
      </w:pPr>
    </w:p>
    <w:p w:rsidR="00272622" w:rsidRDefault="00272622" w:rsidP="00D9638D">
      <w:pPr>
        <w:ind w:left="3544" w:right="-1135"/>
        <w:jc w:val="both"/>
        <w:rPr>
          <w:rFonts w:ascii="Arial" w:hAnsi="Arial" w:cs="Arial"/>
        </w:rPr>
      </w:pPr>
    </w:p>
    <w:p w:rsidR="00ED4FA9" w:rsidRDefault="00ED4FA9" w:rsidP="00D9638D">
      <w:pPr>
        <w:spacing w:line="240" w:lineRule="auto"/>
        <w:ind w:right="-1135" w:firstLine="5812"/>
        <w:jc w:val="both"/>
        <w:rPr>
          <w:rFonts w:ascii="Arial" w:hAnsi="Arial" w:cs="Arial"/>
        </w:rPr>
        <w:sectPr w:rsidR="00ED4FA9" w:rsidSect="00D9638D">
          <w:pgSz w:w="12240" w:h="15840" w:code="1"/>
          <w:pgMar w:top="284" w:right="616" w:bottom="284" w:left="284" w:header="709" w:footer="709" w:gutter="0"/>
          <w:cols w:space="708"/>
          <w:docGrid w:linePitch="360"/>
        </w:sectPr>
      </w:pPr>
    </w:p>
    <w:p w:rsidR="000276C1" w:rsidRDefault="00D2582A" w:rsidP="000276C1">
      <w:pPr>
        <w:spacing w:after="80" w:line="240" w:lineRule="auto"/>
        <w:ind w:left="5387"/>
        <w:jc w:val="both"/>
        <w:rPr>
          <w:rFonts w:ascii="Arial" w:hAnsi="Arial" w:cs="Arial"/>
          <w:lang w:val="es-ES_tradnl"/>
        </w:rPr>
      </w:pPr>
      <w:bookmarkStart w:id="0" w:name="_GoBack"/>
      <w:r w:rsidRPr="000276C1">
        <w:rPr>
          <w:rFonts w:ascii="Arial" w:hAnsi="Arial" w:cs="Arial"/>
          <w:noProof/>
          <w:lang w:val="es-ES_tradnl" w:eastAsia="es-ES_tradnl"/>
        </w:rPr>
        <w:lastRenderedPageBreak/>
        <w:drawing>
          <wp:anchor distT="0" distB="0" distL="114300" distR="114300" simplePos="0" relativeHeight="251660288" behindDoc="0" locked="0" layoutInCell="1" allowOverlap="1" wp14:anchorId="4B1AEDD7" wp14:editId="632322C7">
            <wp:simplePos x="0" y="0"/>
            <wp:positionH relativeFrom="column">
              <wp:posOffset>146685</wp:posOffset>
            </wp:positionH>
            <wp:positionV relativeFrom="paragraph">
              <wp:posOffset>23858</wp:posOffset>
            </wp:positionV>
            <wp:extent cx="3008209" cy="4227434"/>
            <wp:effectExtent l="0" t="0" r="1905" b="1905"/>
            <wp:wrapNone/>
            <wp:docPr id="1" name="Imagen 1" descr="C:\Users\ACER\Desktop\Trabajo OPCA II2022\1. Pag web 2022\3. ACTIVIDADES\Noticias\Noticias Febrero 2023\Portada Revist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Trabajo OPCA II2022\1. Pag web 2022\3. ACTIVIDADES\Noticias\Noticias Febrero 2023\Portada Revista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09" cy="422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276C1">
        <w:rPr>
          <w:rFonts w:ascii="Arial" w:hAnsi="Arial" w:cs="Arial"/>
        </w:rPr>
        <w:t xml:space="preserve">Se ha publicado el primer número de la Revista  </w:t>
      </w:r>
      <w:r w:rsidR="000276C1">
        <w:rPr>
          <w:rFonts w:ascii="Arial" w:hAnsi="Arial" w:cs="Arial"/>
          <w:b/>
          <w:i/>
        </w:rPr>
        <w:t xml:space="preserve">Patrimonio y Arqueología, </w:t>
      </w:r>
      <w:r w:rsidR="000276C1">
        <w:rPr>
          <w:rFonts w:ascii="Arial" w:hAnsi="Arial" w:cs="Arial"/>
        </w:rPr>
        <w:t>órgano de difusión del</w:t>
      </w:r>
      <w:r w:rsidR="00B740E4">
        <w:rPr>
          <w:rFonts w:ascii="Arial" w:hAnsi="Arial" w:cs="Arial"/>
        </w:rPr>
        <w:t xml:space="preserve"> Observatorio del</w:t>
      </w:r>
      <w:r w:rsidR="00ED4FA9">
        <w:rPr>
          <w:rFonts w:ascii="Arial" w:hAnsi="Arial" w:cs="Arial"/>
        </w:rPr>
        <w:t xml:space="preserve"> Patrimonio </w:t>
      </w:r>
      <w:r w:rsidR="00D9638D">
        <w:rPr>
          <w:rFonts w:ascii="Arial" w:hAnsi="Arial" w:cs="Arial"/>
        </w:rPr>
        <w:t>Cultural Arqueológico</w:t>
      </w:r>
      <w:r w:rsidR="000276C1">
        <w:rPr>
          <w:rFonts w:ascii="Arial" w:hAnsi="Arial" w:cs="Arial"/>
        </w:rPr>
        <w:t xml:space="preserve"> (OPCA), </w:t>
      </w:r>
      <w:r w:rsidR="000276C1" w:rsidRPr="000276C1">
        <w:rPr>
          <w:rFonts w:ascii="Arial" w:hAnsi="Arial" w:cs="Arial"/>
          <w:lang w:val="es-ES_tradnl"/>
        </w:rPr>
        <w:t>es un espacio de conocimiento, reflexión, análisis y de intercambio de experiencias rela</w:t>
      </w:r>
      <w:r w:rsidR="000276C1" w:rsidRPr="000276C1">
        <w:rPr>
          <w:rFonts w:ascii="Arial" w:hAnsi="Arial" w:cs="Arial"/>
          <w:lang w:val="es-ES_tradnl"/>
        </w:rPr>
        <w:softHyphen/>
        <w:t>cionadas al trabajo con el patrimonio arqueológico en Bolivia.</w:t>
      </w:r>
      <w:r w:rsidR="000276C1">
        <w:rPr>
          <w:rFonts w:ascii="Arial" w:hAnsi="Arial" w:cs="Arial"/>
          <w:lang w:val="es-ES_tradnl"/>
        </w:rPr>
        <w:t xml:space="preserve"> </w:t>
      </w:r>
    </w:p>
    <w:p w:rsidR="000276C1" w:rsidRDefault="000276C1" w:rsidP="000276C1">
      <w:pPr>
        <w:spacing w:after="80" w:line="240" w:lineRule="auto"/>
        <w:ind w:left="5387"/>
        <w:jc w:val="both"/>
        <w:rPr>
          <w:rFonts w:ascii="Arial" w:hAnsi="Arial" w:cs="Arial"/>
          <w:lang w:val="es-ES_tradnl"/>
        </w:rPr>
      </w:pPr>
    </w:p>
    <w:p w:rsidR="00CD0CDD" w:rsidRDefault="000276C1" w:rsidP="00CD0CDD">
      <w:pPr>
        <w:spacing w:after="80" w:line="240" w:lineRule="auto"/>
        <w:ind w:left="5387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</w:rPr>
        <w:t xml:space="preserve">La edición de la revista correspondiente al mes de enero 2023 incluye los </w:t>
      </w:r>
      <w:r w:rsidR="00D2582A">
        <w:rPr>
          <w:rFonts w:ascii="Arial" w:hAnsi="Arial" w:cs="Arial"/>
        </w:rPr>
        <w:t>artículos</w:t>
      </w:r>
      <w:r>
        <w:rPr>
          <w:rFonts w:ascii="Arial" w:hAnsi="Arial" w:cs="Arial"/>
        </w:rPr>
        <w:t xml:space="preserve"> “</w:t>
      </w:r>
      <w:r>
        <w:rPr>
          <w:rFonts w:ascii="Arial" w:hAnsi="Arial" w:cs="Arial"/>
          <w:bCs/>
          <w:lang w:val="es-ES_tradnl"/>
        </w:rPr>
        <w:t xml:space="preserve">Definiendo la cerámica </w:t>
      </w:r>
      <w:proofErr w:type="spellStart"/>
      <w:r>
        <w:rPr>
          <w:rFonts w:ascii="Arial" w:hAnsi="Arial" w:cs="Arial"/>
          <w:bCs/>
          <w:lang w:val="es-ES_tradnl"/>
        </w:rPr>
        <w:t>Pacajes</w:t>
      </w:r>
      <w:proofErr w:type="spellEnd"/>
      <w:r>
        <w:rPr>
          <w:rFonts w:ascii="Arial" w:hAnsi="Arial" w:cs="Arial"/>
          <w:bCs/>
          <w:lang w:val="es-ES_tradnl"/>
        </w:rPr>
        <w:t xml:space="preserve"> local (1150 – 1470 d.C.) en el altiplano norte de La Paz (Bolivia)” de</w:t>
      </w:r>
      <w:r>
        <w:rPr>
          <w:rFonts w:ascii="Arial" w:hAnsi="Arial" w:cs="Arial"/>
        </w:rPr>
        <w:t xml:space="preserve"> </w:t>
      </w:r>
      <w:r w:rsidRPr="000276C1">
        <w:rPr>
          <w:rFonts w:ascii="Arial" w:hAnsi="Arial" w:cs="Arial"/>
          <w:lang w:val="es-ES_tradnl"/>
        </w:rPr>
        <w:t xml:space="preserve">Salvador </w:t>
      </w:r>
      <w:proofErr w:type="spellStart"/>
      <w:r w:rsidRPr="000276C1">
        <w:rPr>
          <w:rFonts w:ascii="Arial" w:hAnsi="Arial" w:cs="Arial"/>
          <w:lang w:val="es-ES_tradnl"/>
        </w:rPr>
        <w:t>Arano</w:t>
      </w:r>
      <w:proofErr w:type="spellEnd"/>
      <w:r w:rsidRPr="000276C1">
        <w:rPr>
          <w:rFonts w:ascii="Arial" w:hAnsi="Arial" w:cs="Arial"/>
          <w:lang w:val="es-ES_tradnl"/>
        </w:rPr>
        <w:t xml:space="preserve"> Romero, Mirtha Gómez Saavedra, Violeta Salazar Cárdenas, Adriana Pérez </w:t>
      </w:r>
      <w:proofErr w:type="spellStart"/>
      <w:r w:rsidRPr="000276C1">
        <w:rPr>
          <w:rFonts w:ascii="Arial" w:hAnsi="Arial" w:cs="Arial"/>
          <w:lang w:val="es-ES_tradnl"/>
        </w:rPr>
        <w:t>Echalar</w:t>
      </w:r>
      <w:proofErr w:type="spellEnd"/>
      <w:r w:rsidRPr="000276C1">
        <w:rPr>
          <w:rFonts w:ascii="Arial" w:hAnsi="Arial" w:cs="Arial"/>
          <w:lang w:val="es-ES_tradnl"/>
        </w:rPr>
        <w:t xml:space="preserve"> y Walter </w:t>
      </w:r>
      <w:proofErr w:type="spellStart"/>
      <w:r w:rsidRPr="000276C1">
        <w:rPr>
          <w:rFonts w:ascii="Arial" w:hAnsi="Arial" w:cs="Arial"/>
          <w:lang w:val="es-ES_tradnl"/>
        </w:rPr>
        <w:t>Orgaz</w:t>
      </w:r>
      <w:proofErr w:type="spellEnd"/>
      <w:r w:rsidR="00CD0CDD">
        <w:rPr>
          <w:rFonts w:ascii="Arial" w:hAnsi="Arial" w:cs="Arial"/>
          <w:lang w:val="es-ES_tradnl"/>
        </w:rPr>
        <w:t xml:space="preserve">; </w:t>
      </w:r>
      <w:r w:rsidRPr="000276C1">
        <w:rPr>
          <w:rFonts w:ascii="Arial" w:hAnsi="Arial" w:cs="Arial"/>
          <w:lang w:val="es-ES_tradnl"/>
        </w:rPr>
        <w:t xml:space="preserve"> </w:t>
      </w:r>
      <w:r w:rsidR="00CD0CDD">
        <w:rPr>
          <w:rFonts w:ascii="Arial" w:hAnsi="Arial" w:cs="Arial"/>
        </w:rPr>
        <w:t>“</w:t>
      </w:r>
      <w:r w:rsidR="00CD0CDD">
        <w:rPr>
          <w:rFonts w:ascii="Arial" w:hAnsi="Arial" w:cs="Arial"/>
          <w:bCs/>
          <w:lang w:val="es-ES_tradnl"/>
        </w:rPr>
        <w:t>T</w:t>
      </w:r>
      <w:r w:rsidR="00CD0CDD" w:rsidRPr="00CD0CDD">
        <w:rPr>
          <w:rFonts w:ascii="Arial" w:hAnsi="Arial" w:cs="Arial"/>
          <w:bCs/>
          <w:lang w:val="es-ES_tradnl"/>
        </w:rPr>
        <w:t xml:space="preserve">orres funerarias e identidad étnica en </w:t>
      </w:r>
      <w:proofErr w:type="spellStart"/>
      <w:r w:rsidR="00CD0CDD">
        <w:rPr>
          <w:rFonts w:ascii="Arial" w:hAnsi="Arial" w:cs="Arial"/>
          <w:bCs/>
          <w:lang w:val="es-ES_tradnl"/>
        </w:rPr>
        <w:t>Omasuyos</w:t>
      </w:r>
      <w:proofErr w:type="spellEnd"/>
      <w:r w:rsidR="00CD0CDD">
        <w:rPr>
          <w:rFonts w:ascii="Arial" w:hAnsi="Arial" w:cs="Arial"/>
          <w:bCs/>
          <w:lang w:val="es-ES_tradnl"/>
        </w:rPr>
        <w:t>. A</w:t>
      </w:r>
      <w:r w:rsidR="00CD0CDD" w:rsidRPr="00CD0CDD">
        <w:rPr>
          <w:rFonts w:ascii="Arial" w:hAnsi="Arial" w:cs="Arial"/>
          <w:bCs/>
          <w:lang w:val="es-ES_tradnl"/>
        </w:rPr>
        <w:t>puntes sobr</w:t>
      </w:r>
      <w:r w:rsidR="00CD0CDD">
        <w:rPr>
          <w:rFonts w:ascii="Arial" w:hAnsi="Arial" w:cs="Arial"/>
          <w:bCs/>
          <w:lang w:val="es-ES_tradnl"/>
        </w:rPr>
        <w:t>e la arquitectura funeraria de E</w:t>
      </w:r>
      <w:r w:rsidR="00CD0CDD" w:rsidRPr="00CD0CDD">
        <w:rPr>
          <w:rFonts w:ascii="Arial" w:hAnsi="Arial" w:cs="Arial"/>
          <w:bCs/>
          <w:lang w:val="es-ES_tradnl"/>
        </w:rPr>
        <w:t>s</w:t>
      </w:r>
      <w:r w:rsidR="00CD0CDD">
        <w:rPr>
          <w:rFonts w:ascii="Arial" w:hAnsi="Arial" w:cs="Arial"/>
          <w:bCs/>
          <w:lang w:val="es-ES_tradnl"/>
        </w:rPr>
        <w:t>coma en la cuenca oriental del Lago T</w:t>
      </w:r>
      <w:r w:rsidR="00CD0CDD" w:rsidRPr="00CD0CDD">
        <w:rPr>
          <w:rFonts w:ascii="Arial" w:hAnsi="Arial" w:cs="Arial"/>
          <w:bCs/>
          <w:lang w:val="es-ES_tradnl"/>
        </w:rPr>
        <w:t>iticaca</w:t>
      </w:r>
      <w:r w:rsidR="00CD0CDD">
        <w:rPr>
          <w:rFonts w:ascii="Arial" w:hAnsi="Arial" w:cs="Arial"/>
          <w:bCs/>
          <w:lang w:val="es-ES_tradnl"/>
        </w:rPr>
        <w:t>” de</w:t>
      </w:r>
      <w:r w:rsidR="00CD0CDD" w:rsidRPr="00CD0CDD">
        <w:rPr>
          <w:rFonts w:ascii="Arial" w:hAnsi="Arial" w:cs="Arial"/>
          <w:bCs/>
          <w:lang w:val="es-ES_tradnl"/>
        </w:rPr>
        <w:t xml:space="preserve"> </w:t>
      </w:r>
      <w:r w:rsidR="00CD0CDD">
        <w:rPr>
          <w:rFonts w:ascii="Arial" w:hAnsi="Arial" w:cs="Arial"/>
          <w:lang w:val="es-ES_tradnl"/>
        </w:rPr>
        <w:t xml:space="preserve">Juan Carlos Chávez Quispe. Ambos artículos son investigaciones derivadas del proyecto IDH del OPCA “Construyendo </w:t>
      </w:r>
      <w:r w:rsidR="00D2582A">
        <w:rPr>
          <w:rFonts w:ascii="Arial" w:hAnsi="Arial" w:cs="Arial"/>
          <w:lang w:val="es-ES_tradnl"/>
        </w:rPr>
        <w:t xml:space="preserve">una cartografía cultural: el Catastro arqueológico en los Municipios Jesús de Machaca y Escoma”. </w:t>
      </w:r>
    </w:p>
    <w:p w:rsidR="00D2582A" w:rsidRDefault="00D2582A" w:rsidP="00D2582A">
      <w:pPr>
        <w:spacing w:after="80" w:line="240" w:lineRule="auto"/>
        <w:ind w:left="5387"/>
        <w:jc w:val="both"/>
        <w:rPr>
          <w:rFonts w:ascii="Arial" w:hAnsi="Arial" w:cs="Arial"/>
          <w:bCs/>
          <w:lang w:val="es-ES_tradnl"/>
        </w:rPr>
      </w:pPr>
    </w:p>
    <w:p w:rsidR="00CD0CDD" w:rsidRDefault="00D2582A" w:rsidP="00D2582A">
      <w:pPr>
        <w:spacing w:after="80" w:line="240" w:lineRule="auto"/>
        <w:ind w:left="5387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bCs/>
          <w:lang w:val="es-ES_tradnl"/>
        </w:rPr>
        <w:t>La publicación también incluye: “U</w:t>
      </w:r>
      <w:r w:rsidRPr="00D2582A">
        <w:rPr>
          <w:rFonts w:ascii="Arial" w:hAnsi="Arial" w:cs="Arial"/>
          <w:bCs/>
          <w:lang w:val="es-ES_tradnl"/>
        </w:rPr>
        <w:t>na aproximación hacia la normativa boliviana y las políticas públicas s</w:t>
      </w:r>
      <w:r>
        <w:rPr>
          <w:rFonts w:ascii="Arial" w:hAnsi="Arial" w:cs="Arial"/>
          <w:bCs/>
          <w:lang w:val="es-ES_tradnl"/>
        </w:rPr>
        <w:t xml:space="preserve">obre el patrimonio arqueológico” de </w:t>
      </w:r>
      <w:r w:rsidRPr="00D2582A">
        <w:rPr>
          <w:rFonts w:ascii="Arial" w:hAnsi="Arial" w:cs="Arial"/>
          <w:lang w:val="es-ES_tradnl"/>
        </w:rPr>
        <w:t>Jimena Portugal Loayza</w:t>
      </w:r>
      <w:r>
        <w:rPr>
          <w:rFonts w:ascii="Arial" w:hAnsi="Arial" w:cs="Arial"/>
          <w:lang w:val="es-ES_tradnl"/>
        </w:rPr>
        <w:t>; “</w:t>
      </w:r>
      <w:r>
        <w:rPr>
          <w:rFonts w:ascii="Arial" w:hAnsi="Arial" w:cs="Arial"/>
          <w:bCs/>
          <w:lang w:val="es-ES_tradnl"/>
        </w:rPr>
        <w:t>Á</w:t>
      </w:r>
      <w:r w:rsidRPr="00D2582A">
        <w:rPr>
          <w:rFonts w:ascii="Arial" w:hAnsi="Arial" w:cs="Arial"/>
          <w:bCs/>
          <w:lang w:val="es-ES_tradnl"/>
        </w:rPr>
        <w:t>reas de encuentro ritual y convivencia pacífica, en t</w:t>
      </w:r>
      <w:r>
        <w:rPr>
          <w:rFonts w:ascii="Arial" w:hAnsi="Arial" w:cs="Arial"/>
          <w:bCs/>
          <w:lang w:val="es-ES_tradnl"/>
        </w:rPr>
        <w:t xml:space="preserve">orno a la deidad de la montaña </w:t>
      </w:r>
      <w:proofErr w:type="spellStart"/>
      <w:r>
        <w:rPr>
          <w:rFonts w:ascii="Arial" w:hAnsi="Arial" w:cs="Arial"/>
          <w:bCs/>
          <w:lang w:val="es-ES_tradnl"/>
        </w:rPr>
        <w:t>Sajama</w:t>
      </w:r>
      <w:proofErr w:type="spellEnd"/>
      <w:r>
        <w:rPr>
          <w:rFonts w:ascii="Arial" w:hAnsi="Arial" w:cs="Arial"/>
          <w:bCs/>
          <w:lang w:val="es-ES_tradnl"/>
        </w:rPr>
        <w:t xml:space="preserve"> durante el periodo I</w:t>
      </w:r>
      <w:r w:rsidRPr="00D2582A">
        <w:rPr>
          <w:rFonts w:ascii="Arial" w:hAnsi="Arial" w:cs="Arial"/>
          <w:bCs/>
          <w:lang w:val="es-ES_tradnl"/>
        </w:rPr>
        <w:t>n</w:t>
      </w:r>
      <w:r>
        <w:rPr>
          <w:rFonts w:ascii="Arial" w:hAnsi="Arial" w:cs="Arial"/>
          <w:bCs/>
          <w:lang w:val="es-ES_tradnl"/>
        </w:rPr>
        <w:t>termedio tardío (1000 – 1450 d.C</w:t>
      </w:r>
      <w:r w:rsidRPr="00D2582A">
        <w:rPr>
          <w:rFonts w:ascii="Arial" w:hAnsi="Arial" w:cs="Arial"/>
          <w:bCs/>
          <w:lang w:val="es-ES_tradnl"/>
        </w:rPr>
        <w:t>.)</w:t>
      </w:r>
      <w:r>
        <w:rPr>
          <w:rFonts w:ascii="Arial" w:hAnsi="Arial" w:cs="Arial"/>
          <w:b/>
          <w:bCs/>
          <w:lang w:val="es-ES_tradnl"/>
        </w:rPr>
        <w:t xml:space="preserve">” </w:t>
      </w:r>
      <w:r>
        <w:rPr>
          <w:rFonts w:ascii="Arial" w:hAnsi="Arial" w:cs="Arial"/>
          <w:bCs/>
          <w:lang w:val="es-ES_tradnl"/>
        </w:rPr>
        <w:t xml:space="preserve">de </w:t>
      </w:r>
      <w:r>
        <w:rPr>
          <w:rFonts w:ascii="Arial" w:hAnsi="Arial" w:cs="Arial"/>
          <w:lang w:val="es-ES_tradnl"/>
        </w:rPr>
        <w:t xml:space="preserve">Ramón </w:t>
      </w:r>
      <w:proofErr w:type="spellStart"/>
      <w:r>
        <w:rPr>
          <w:rFonts w:ascii="Arial" w:hAnsi="Arial" w:cs="Arial"/>
          <w:lang w:val="es-ES_tradnl"/>
        </w:rPr>
        <w:t>Torrez</w:t>
      </w:r>
      <w:proofErr w:type="spellEnd"/>
      <w:r>
        <w:rPr>
          <w:rFonts w:ascii="Arial" w:hAnsi="Arial" w:cs="Arial"/>
          <w:lang w:val="es-ES_tradnl"/>
        </w:rPr>
        <w:t xml:space="preserve"> Cruz;  “U</w:t>
      </w:r>
      <w:r w:rsidRPr="00D2582A">
        <w:rPr>
          <w:rFonts w:ascii="Arial" w:hAnsi="Arial" w:cs="Arial"/>
          <w:bCs/>
          <w:lang w:val="es-ES_tradnl"/>
        </w:rPr>
        <w:t xml:space="preserve">na experiencia de limpieza de líquenes en cerámica arqueológica, ensayo </w:t>
      </w:r>
      <w:r>
        <w:rPr>
          <w:rFonts w:ascii="Arial" w:hAnsi="Arial" w:cs="Arial"/>
          <w:bCs/>
          <w:lang w:val="es-ES_tradnl"/>
        </w:rPr>
        <w:t xml:space="preserve">con etanol y amonio cuaternario” de </w:t>
      </w:r>
      <w:proofErr w:type="spellStart"/>
      <w:r w:rsidRPr="00D2582A">
        <w:rPr>
          <w:rFonts w:ascii="Arial" w:hAnsi="Arial" w:cs="Arial"/>
          <w:lang w:val="es-ES_tradnl"/>
        </w:rPr>
        <w:t>Déborah</w:t>
      </w:r>
      <w:proofErr w:type="spellEnd"/>
      <w:r w:rsidRPr="00D2582A">
        <w:rPr>
          <w:rFonts w:ascii="Arial" w:hAnsi="Arial" w:cs="Arial"/>
          <w:lang w:val="es-ES_tradnl"/>
        </w:rPr>
        <w:t xml:space="preserve"> Mattos </w:t>
      </w:r>
      <w:proofErr w:type="spellStart"/>
      <w:r w:rsidRPr="00D2582A">
        <w:rPr>
          <w:rFonts w:ascii="Arial" w:hAnsi="Arial" w:cs="Arial"/>
          <w:lang w:val="es-ES_tradnl"/>
        </w:rPr>
        <w:t>Droguett</w:t>
      </w:r>
      <w:proofErr w:type="spellEnd"/>
      <w:r>
        <w:rPr>
          <w:rFonts w:ascii="Arial" w:hAnsi="Arial" w:cs="Arial"/>
          <w:lang w:val="es-ES_tradnl"/>
        </w:rPr>
        <w:t xml:space="preserve">. Además presenta Reseñas de tesis y trabajos dirigidos (PETAENG) referidas al patrimonio cultural y actividades realizadas por el OPCA los últimos años. </w:t>
      </w:r>
    </w:p>
    <w:p w:rsidR="00CD0CDD" w:rsidRDefault="00CD0CDD" w:rsidP="00CD0CDD">
      <w:pPr>
        <w:spacing w:after="80" w:line="240" w:lineRule="auto"/>
        <w:ind w:left="5387"/>
        <w:jc w:val="both"/>
        <w:rPr>
          <w:rFonts w:ascii="Arial" w:hAnsi="Arial" w:cs="Arial"/>
          <w:lang w:val="es-ES_tradnl"/>
        </w:rPr>
      </w:pPr>
    </w:p>
    <w:p w:rsidR="00ED4FA9" w:rsidRDefault="006D4771" w:rsidP="00D2582A">
      <w:pPr>
        <w:spacing w:line="240" w:lineRule="auto"/>
        <w:ind w:left="5387" w:right="-1"/>
        <w:jc w:val="right"/>
        <w:rPr>
          <w:rFonts w:ascii="Arial" w:hAnsi="Arial" w:cs="Arial"/>
        </w:rPr>
      </w:pPr>
      <w:r w:rsidRPr="006D4771">
        <w:rPr>
          <w:rFonts w:ascii="Arial" w:hAnsi="Arial" w:cs="Arial"/>
          <w:noProof/>
          <w:lang w:val="es-ES_tradnl" w:eastAsia="es-ES_tradnl"/>
        </w:rPr>
        <w:drawing>
          <wp:inline distT="0" distB="0" distL="0" distR="0">
            <wp:extent cx="1442085" cy="435610"/>
            <wp:effectExtent l="0" t="0" r="5715" b="2540"/>
            <wp:docPr id="9" name="Imagen 9" descr="C:\Users\ACER\Desktop\Descarg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Descarga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771" w:rsidRPr="006D4771" w:rsidRDefault="006D4771" w:rsidP="006D4771">
      <w:pPr>
        <w:spacing w:line="240" w:lineRule="auto"/>
        <w:ind w:left="5387" w:right="-1"/>
        <w:jc w:val="right"/>
        <w:rPr>
          <w:rFonts w:ascii="Arial" w:hAnsi="Arial" w:cs="Arial"/>
          <w:b/>
          <w:color w:val="002060"/>
          <w:sz w:val="20"/>
          <w:szCs w:val="20"/>
        </w:rPr>
      </w:pPr>
      <w:r w:rsidRPr="006D4771">
        <w:rPr>
          <w:rFonts w:ascii="Arial" w:hAnsi="Arial" w:cs="Arial"/>
          <w:b/>
          <w:color w:val="002060"/>
          <w:sz w:val="20"/>
          <w:szCs w:val="20"/>
        </w:rPr>
        <w:t>Fecha de publicación: 1 febrero 2023</w:t>
      </w:r>
    </w:p>
    <w:p w:rsidR="00ED4FA9" w:rsidRDefault="00ED4FA9" w:rsidP="00ED4FA9">
      <w:pPr>
        <w:spacing w:line="240" w:lineRule="auto"/>
        <w:ind w:right="-1"/>
        <w:jc w:val="both"/>
        <w:rPr>
          <w:rFonts w:ascii="Arial" w:hAnsi="Arial" w:cs="Arial"/>
        </w:rPr>
      </w:pPr>
    </w:p>
    <w:p w:rsidR="00ED4FA9" w:rsidRPr="00ED4FA9" w:rsidRDefault="00ED4FA9" w:rsidP="00ED4FA9">
      <w:pPr>
        <w:spacing w:line="240" w:lineRule="auto"/>
        <w:ind w:left="5387" w:right="-1"/>
        <w:jc w:val="both"/>
        <w:rPr>
          <w:rFonts w:ascii="Arial" w:hAnsi="Arial" w:cs="Arial"/>
        </w:rPr>
        <w:sectPr w:rsidR="00ED4FA9" w:rsidRPr="00ED4FA9" w:rsidSect="00ED4FA9">
          <w:type w:val="continuous"/>
          <w:pgSz w:w="12240" w:h="15840" w:code="1"/>
          <w:pgMar w:top="284" w:right="1325" w:bottom="284" w:left="284" w:header="709" w:footer="709" w:gutter="0"/>
          <w:cols w:space="708"/>
          <w:docGrid w:linePitch="360"/>
        </w:sectPr>
      </w:pPr>
    </w:p>
    <w:p w:rsidR="00ED4FA9" w:rsidRDefault="00ED4FA9">
      <w:pPr>
        <w:spacing w:line="240" w:lineRule="auto"/>
        <w:ind w:right="-1135" w:firstLine="5670"/>
        <w:rPr>
          <w:rFonts w:ascii="Arial" w:hAnsi="Arial" w:cs="Arial"/>
        </w:rPr>
      </w:pPr>
    </w:p>
    <w:sectPr w:rsidR="00ED4FA9" w:rsidSect="00ED4FA9">
      <w:type w:val="continuous"/>
      <w:pgSz w:w="12240" w:h="15840" w:code="1"/>
      <w:pgMar w:top="284" w:right="900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622"/>
    <w:rsid w:val="000276C1"/>
    <w:rsid w:val="00272622"/>
    <w:rsid w:val="00372055"/>
    <w:rsid w:val="003E21C2"/>
    <w:rsid w:val="006D4771"/>
    <w:rsid w:val="00B740E4"/>
    <w:rsid w:val="00CD0CDD"/>
    <w:rsid w:val="00D2582A"/>
    <w:rsid w:val="00D9638D"/>
    <w:rsid w:val="00ED4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246FF6-B936-45D9-BC8C-F404A9005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252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2022-09-16T19:48:00Z</dcterms:created>
  <dcterms:modified xsi:type="dcterms:W3CDTF">2023-01-28T15:52:00Z</dcterms:modified>
</cp:coreProperties>
</file>